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CBE0" w14:textId="7FCAF98A" w:rsidR="00B01088" w:rsidRDefault="00B01088">
      <w:r>
        <w:rPr>
          <w:noProof/>
        </w:rPr>
        <w:drawing>
          <wp:anchor distT="0" distB="0" distL="114300" distR="114300" simplePos="0" relativeHeight="251658240" behindDoc="1" locked="0" layoutInCell="1" allowOverlap="1" wp14:anchorId="355A2443" wp14:editId="7E50AEE2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5453743" cy="477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43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88"/>
    <w:rsid w:val="00B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32B"/>
  <w15:chartTrackingRefBased/>
  <w15:docId w15:val="{51C8087F-9B53-4A8A-9745-9932706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bcba766-8364-4bb0-8071-e6e05be69d71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Cloe (THE DICCONSON GROUP PRACTICE)</dc:creator>
  <cp:keywords/>
  <dc:description/>
  <cp:lastModifiedBy>CLIFTON, Cloe (THE DICCONSON GROUP PRACTICE)</cp:lastModifiedBy>
  <cp:revision>1</cp:revision>
  <dcterms:created xsi:type="dcterms:W3CDTF">2022-12-20T08:05:00Z</dcterms:created>
  <dcterms:modified xsi:type="dcterms:W3CDTF">2022-12-20T15:18:00Z</dcterms:modified>
</cp:coreProperties>
</file>